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A76" w:rsidRPr="00F47FAD" w:rsidRDefault="005F1789" w:rsidP="004B5A76">
      <w:pPr>
        <w:jc w:val="both"/>
        <w:rPr>
          <w:rFonts w:ascii="Calibri" w:hAnsi="Calibri" w:cs="Calibri"/>
          <w:sz w:val="20"/>
          <w:lang w:val="es-CL"/>
        </w:rPr>
      </w:pPr>
      <w:r w:rsidRPr="005F1789">
        <w:rPr>
          <w:rFonts w:ascii="Calibri" w:hAnsi="Calibri" w:cs="Calibri"/>
          <w:b/>
          <w:bCs/>
          <w:noProof/>
          <w:sz w:val="20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43.8pt;margin-top:-12pt;width:531.75pt;height:31.65pt;z-index:251658240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4B5A76" w:rsidRPr="00BF05E8" w:rsidRDefault="004B5A76" w:rsidP="004B5A76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4B5A76" w:rsidRPr="00F47FAD" w:rsidRDefault="004B5A76" w:rsidP="004B5A76">
      <w:pPr>
        <w:jc w:val="both"/>
        <w:rPr>
          <w:rFonts w:ascii="Calibri" w:hAnsi="Calibri" w:cs="Calibri"/>
          <w:sz w:val="20"/>
          <w:lang w:val="es-CL"/>
        </w:rPr>
      </w:pPr>
    </w:p>
    <w:p w:rsidR="004B5A76" w:rsidRPr="00F47FAD" w:rsidRDefault="004B5A76" w:rsidP="004B5A76">
      <w:pPr>
        <w:jc w:val="both"/>
        <w:rPr>
          <w:rFonts w:ascii="Calibri" w:hAnsi="Calibri" w:cs="Calibri"/>
          <w:b/>
          <w:bCs/>
          <w:sz w:val="20"/>
        </w:rPr>
      </w:pPr>
    </w:p>
    <w:tbl>
      <w:tblPr>
        <w:tblStyle w:val="Cuadrculaclara-nfasis5"/>
        <w:tblpPr w:leftFromText="141" w:rightFromText="141" w:vertAnchor="text" w:horzAnchor="margin" w:tblpXSpec="center" w:tblpY="169"/>
        <w:tblW w:w="10598" w:type="dxa"/>
        <w:tblLayout w:type="fixed"/>
        <w:tblLook w:val="04A0"/>
      </w:tblPr>
      <w:tblGrid>
        <w:gridCol w:w="4219"/>
        <w:gridCol w:w="6379"/>
      </w:tblGrid>
      <w:tr w:rsidR="004B5A76" w:rsidRPr="00F47FAD" w:rsidTr="004B5A76">
        <w:trPr>
          <w:cnfStyle w:val="100000000000"/>
          <w:trHeight w:val="224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Nombre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cnfStyle w:val="100000000000"/>
              <w:rPr>
                <w:rFonts w:ascii="Calibri" w:hAnsi="Calibri" w:cs="Calibri"/>
                <w:b w:val="0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 w:val="0"/>
                <w:sz w:val="20"/>
                <w:lang w:val="es-CL"/>
              </w:rPr>
              <w:t xml:space="preserve">Número de divorcios </w:t>
            </w:r>
          </w:p>
        </w:tc>
      </w:tr>
      <w:tr w:rsidR="004B5A76" w:rsidRPr="00F47FAD" w:rsidTr="004B5A76">
        <w:trPr>
          <w:cnfStyle w:val="000000100000"/>
          <w:trHeight w:val="168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Operación Estadística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b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Registros administrativos</w:t>
            </w:r>
          </w:p>
        </w:tc>
      </w:tr>
      <w:tr w:rsidR="004B5A76" w:rsidRPr="00F47FAD" w:rsidTr="004B5A76">
        <w:trPr>
          <w:cnfStyle w:val="000000010000"/>
          <w:trHeight w:val="575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Definición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Es </w:t>
            </w:r>
            <w:r w:rsidR="006C66A6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 xml:space="preserve">el </w:t>
            </w:r>
            <w:r w:rsidRPr="00F47FAD"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número de disoluciones jurídicas definitivas de los matrimonios, es decir la separación del marido y de la mujer.</w:t>
            </w:r>
          </w:p>
        </w:tc>
      </w:tr>
      <w:tr w:rsidR="004B5A76" w:rsidRPr="00F47FAD" w:rsidTr="004B5A76">
        <w:trPr>
          <w:cnfStyle w:val="000000100000"/>
          <w:trHeight w:val="259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Unidad de Medida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Número</w:t>
            </w:r>
          </w:p>
        </w:tc>
      </w:tr>
      <w:tr w:rsidR="004B5A76" w:rsidRPr="00F47FAD" w:rsidTr="004B5A76">
        <w:trPr>
          <w:cnfStyle w:val="000000010000"/>
          <w:trHeight w:val="235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000000" w:themeColor="text1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Fórmula de Cálculo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4B5A76" w:rsidRPr="00F47FAD" w:rsidRDefault="006C66A6" w:rsidP="004B5A76">
            <w:pPr>
              <w:jc w:val="center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m:oMathPara>
              <m:oMath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ND=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∑</m:t>
                </m:r>
                <m:r>
                  <m:rPr>
                    <m:sty m:val="p"/>
                  </m:rPr>
                  <w:rPr>
                    <w:rFonts w:ascii="Cambria Math" w:hAnsi="Calibri" w:cs="Calibri"/>
                    <w:sz w:val="20"/>
                    <w:lang w:val="es-CL"/>
                  </w:rPr>
                  <m:t>DR</m:t>
                </m:r>
              </m:oMath>
            </m:oMathPara>
          </w:p>
          <w:p w:rsidR="004B5A76" w:rsidRPr="00F47FAD" w:rsidRDefault="004B5A76" w:rsidP="004B5A76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Donde:</w:t>
            </w:r>
          </w:p>
          <w:p w:rsidR="004B5A76" w:rsidRPr="00F47FAD" w:rsidRDefault="004B5A76" w:rsidP="004B5A76">
            <w:pPr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ND= Número de divorcios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∑DR= Sumatoria de divorcios registrados.</w:t>
            </w:r>
          </w:p>
        </w:tc>
      </w:tr>
      <w:tr w:rsidR="004B5A76" w:rsidRPr="00F47FAD" w:rsidTr="004B5A76">
        <w:trPr>
          <w:cnfStyle w:val="000000100000"/>
          <w:trHeight w:val="575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Definición de las variables que componen el indicador</w:t>
            </w:r>
          </w:p>
          <w:p w:rsidR="004B5A76" w:rsidRPr="00F47FAD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b/>
                <w:sz w:val="20"/>
                <w:lang w:val="es-CL"/>
              </w:rPr>
              <w:t>Divorcio.-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 xml:space="preserve"> Es la disolución jurídica definitiva de un matrimonio, es decir la separación del marido y de la mujer, que confiere a las partes el derecho a contraer nuevas nupcias según disposiciones civiles, religiosas o de otra clase de acuerdo con las leyes de cada país.</w:t>
            </w:r>
          </w:p>
        </w:tc>
      </w:tr>
      <w:tr w:rsidR="004B5A76" w:rsidRPr="00F47FAD" w:rsidTr="004B5A76">
        <w:trPr>
          <w:cnfStyle w:val="000000010000"/>
          <w:trHeight w:val="143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6C66A6">
              <w:rPr>
                <w:rFonts w:ascii="Calibri" w:hAnsi="Calibri" w:cs="Calibri"/>
                <w:color w:val="auto"/>
                <w:sz w:val="20"/>
              </w:rPr>
              <w:t>Interpretación del Indicador</w:t>
            </w:r>
          </w:p>
        </w:tc>
        <w:tc>
          <w:tcPr>
            <w:tcW w:w="6379" w:type="dxa"/>
          </w:tcPr>
          <w:p w:rsidR="004B5A76" w:rsidRPr="00F47FAD" w:rsidRDefault="002914F7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En el año 2008</w:t>
            </w:r>
            <w:r w:rsidR="004B5A76" w:rsidRPr="00F47FAD">
              <w:rPr>
                <w:rFonts w:ascii="Calibri" w:hAnsi="Calibri" w:cs="Calibri"/>
                <w:sz w:val="20"/>
                <w:lang w:val="es-CL"/>
              </w:rPr>
              <w:t xml:space="preserve"> se registraron </w:t>
            </w:r>
            <w:r w:rsidRPr="002914F7">
              <w:rPr>
                <w:rFonts w:ascii="Calibri" w:hAnsi="Calibri" w:cs="Calibri"/>
                <w:sz w:val="20"/>
                <w:lang w:val="es-CL"/>
              </w:rPr>
              <w:t>17</w:t>
            </w:r>
            <w:r>
              <w:rPr>
                <w:rFonts w:ascii="Calibri" w:hAnsi="Calibri" w:cs="Calibri"/>
                <w:sz w:val="20"/>
                <w:lang w:val="es-CL"/>
              </w:rPr>
              <w:t>.</w:t>
            </w:r>
            <w:r w:rsidRPr="002914F7">
              <w:rPr>
                <w:rFonts w:ascii="Calibri" w:hAnsi="Calibri" w:cs="Calibri"/>
                <w:sz w:val="20"/>
                <w:lang w:val="es-CL"/>
              </w:rPr>
              <w:t>111</w:t>
            </w:r>
            <w:r>
              <w:rPr>
                <w:rFonts w:ascii="Calibri" w:hAnsi="Calibri" w:cs="Calibri"/>
                <w:sz w:val="20"/>
                <w:lang w:val="es-CL"/>
              </w:rPr>
              <w:t xml:space="preserve"> </w:t>
            </w:r>
            <w:r w:rsidR="004B5A76" w:rsidRPr="00F47FAD">
              <w:rPr>
                <w:rFonts w:ascii="Calibri" w:hAnsi="Calibri" w:cs="Calibri"/>
                <w:sz w:val="20"/>
                <w:lang w:val="es-CL"/>
              </w:rPr>
              <w:t>divorcios a nivel nacional.</w:t>
            </w:r>
          </w:p>
        </w:tc>
      </w:tr>
      <w:tr w:rsidR="004B5A76" w:rsidRPr="00F47FAD" w:rsidTr="004B5A76">
        <w:trPr>
          <w:cnfStyle w:val="000000100000"/>
          <w:trHeight w:val="261"/>
        </w:trPr>
        <w:tc>
          <w:tcPr>
            <w:cnfStyle w:val="001000000000"/>
            <w:tcW w:w="4219" w:type="dxa"/>
          </w:tcPr>
          <w:p w:rsidR="004B5A76" w:rsidRPr="006C66A6" w:rsidRDefault="004B5A76" w:rsidP="004B5A76">
            <w:pPr>
              <w:pStyle w:val="Ttulo5"/>
              <w:outlineLvl w:val="4"/>
              <w:rPr>
                <w:rFonts w:ascii="Calibri" w:hAnsi="Calibri" w:cs="Calibri"/>
                <w:color w:val="auto"/>
                <w:sz w:val="20"/>
              </w:rPr>
            </w:pPr>
            <w:r w:rsidRPr="006C66A6">
              <w:rPr>
                <w:rFonts w:ascii="Calibri" w:hAnsi="Calibri" w:cs="Calibri"/>
                <w:color w:val="000000" w:themeColor="text1"/>
                <w:sz w:val="20"/>
              </w:rPr>
              <w:t>Fuente de información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Instituto Nacional de Estadística y Censos- INEC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  <w:lang w:val="es-CL"/>
              </w:rPr>
              <w:t>Dirección de Estadísticas Socio</w:t>
            </w:r>
            <w:r w:rsidRPr="00F47FAD">
              <w:rPr>
                <w:rFonts w:ascii="Calibri" w:hAnsi="Calibri" w:cs="Calibri"/>
                <w:sz w:val="20"/>
                <w:lang w:val="es-CL"/>
              </w:rPr>
              <w:t>demográficas- DIES</w:t>
            </w:r>
          </w:p>
        </w:tc>
      </w:tr>
      <w:tr w:rsidR="004B5A76" w:rsidRPr="00F47FAD" w:rsidTr="004B5A76">
        <w:trPr>
          <w:cnfStyle w:val="000000010000"/>
          <w:trHeight w:val="302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Fuente de datos</w:t>
            </w:r>
          </w:p>
        </w:tc>
        <w:tc>
          <w:tcPr>
            <w:tcW w:w="6379" w:type="dxa"/>
          </w:tcPr>
          <w:p w:rsidR="004B5A76" w:rsidRPr="00F47FAD" w:rsidRDefault="00EF534A" w:rsidP="00061A73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sz w:val="20"/>
              </w:rPr>
              <w:t xml:space="preserve">Registros administrativos (Oficinas de Registro Civil, Identificación y Cedulación)  </w:t>
            </w:r>
            <w:r>
              <w:rPr>
                <w:color w:val="000000"/>
                <w:sz w:val="20"/>
              </w:rPr>
              <w:t xml:space="preserve"> - </w:t>
            </w:r>
            <w:r>
              <w:rPr>
                <w:rFonts w:ascii="Calibri" w:hAnsi="Calibri" w:cs="Calibri"/>
                <w:sz w:val="20"/>
              </w:rPr>
              <w:t xml:space="preserve">    Anuario de Estadísticas Vitales:   Matrimonios y Divorcios (INEC)</w:t>
            </w:r>
          </w:p>
        </w:tc>
      </w:tr>
      <w:tr w:rsidR="004B5A76" w:rsidRPr="00F47FAD" w:rsidTr="004B5A76">
        <w:trPr>
          <w:cnfStyle w:val="000000100000"/>
          <w:trHeight w:val="264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Periodo de Cobertura</w:t>
            </w:r>
          </w:p>
        </w:tc>
        <w:tc>
          <w:tcPr>
            <w:tcW w:w="6379" w:type="dxa"/>
          </w:tcPr>
          <w:p w:rsidR="004B5A76" w:rsidRPr="00F47FAD" w:rsidRDefault="006C66A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Calibri"/>
                <w:color w:val="000000" w:themeColor="text1"/>
                <w:sz w:val="20"/>
                <w:lang w:val="es-CL"/>
              </w:rPr>
              <w:t>Todo el año</w:t>
            </w:r>
          </w:p>
        </w:tc>
      </w:tr>
      <w:tr w:rsidR="004B5A76" w:rsidRPr="00F47FAD" w:rsidTr="004B5A76">
        <w:trPr>
          <w:cnfStyle w:val="000000010000"/>
          <w:trHeight w:val="269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b w:val="0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color w:val="000000" w:themeColor="text1"/>
                <w:sz w:val="20"/>
              </w:rPr>
              <w:t>Desagregaciones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Nacional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Regional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Provincial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Cantón</w:t>
            </w:r>
          </w:p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Parroquia rural</w:t>
            </w:r>
          </w:p>
        </w:tc>
      </w:tr>
      <w:tr w:rsidR="004B5A76" w:rsidRPr="00F47FAD" w:rsidTr="004B5A76">
        <w:trPr>
          <w:cnfStyle w:val="000000100000"/>
          <w:trHeight w:val="499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</w:rPr>
              <w:t>2001-20</w:t>
            </w:r>
            <w:r w:rsidR="006D3A6F">
              <w:rPr>
                <w:rFonts w:ascii="Calibri" w:hAnsi="Calibri" w:cs="Calibri"/>
                <w:sz w:val="20"/>
              </w:rPr>
              <w:t>0</w:t>
            </w:r>
            <w:r w:rsidR="002914F7">
              <w:rPr>
                <w:rFonts w:ascii="Calibri" w:hAnsi="Calibri" w:cs="Calibri"/>
                <w:sz w:val="20"/>
              </w:rPr>
              <w:t>8</w:t>
            </w:r>
          </w:p>
        </w:tc>
      </w:tr>
      <w:tr w:rsidR="004B5A76" w:rsidRPr="00F47FAD" w:rsidTr="004B5A76">
        <w:trPr>
          <w:cnfStyle w:val="000000010000"/>
          <w:trHeight w:val="71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Periodicidad de producción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Anual</w:t>
            </w:r>
          </w:p>
        </w:tc>
      </w:tr>
      <w:tr w:rsidR="004B5A76" w:rsidRPr="00F47FAD" w:rsidTr="004B5A76">
        <w:trPr>
          <w:cnfStyle w:val="000000100000"/>
          <w:trHeight w:val="383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jc w:val="both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Uso del Indicador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Para medir el bienestar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Generación de políticas públicas en el ámbito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val="es-CL"/>
              </w:rPr>
              <w:t>Análisis de la interacción social,</w:t>
            </w:r>
          </w:p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sz w:val="20"/>
              </w:rPr>
            </w:pPr>
            <w:r w:rsidRPr="00F47FAD">
              <w:rPr>
                <w:rFonts w:ascii="Calibri" w:hAnsi="Calibri" w:cs="Calibri"/>
                <w:sz w:val="20"/>
              </w:rPr>
              <w:t>Instrumentos básicos para el análisis demográfico.</w:t>
            </w:r>
          </w:p>
        </w:tc>
      </w:tr>
      <w:tr w:rsidR="004B5A76" w:rsidRPr="00F47FAD" w:rsidTr="004B5A76">
        <w:trPr>
          <w:cnfStyle w:val="000000010000"/>
          <w:trHeight w:val="506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bCs w:val="0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cnfStyle w:val="00000001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N/A</w:t>
            </w:r>
          </w:p>
        </w:tc>
      </w:tr>
      <w:tr w:rsidR="004B5A76" w:rsidRPr="00F47FAD" w:rsidTr="004B5A76">
        <w:trPr>
          <w:cnfStyle w:val="000000100000"/>
          <w:trHeight w:val="263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 xml:space="preserve">Información </w:t>
            </w:r>
            <w:proofErr w:type="spellStart"/>
            <w:r w:rsidRPr="00F47FAD">
              <w:rPr>
                <w:rFonts w:ascii="Calibri" w:hAnsi="Calibri" w:cs="Calibri"/>
                <w:sz w:val="20"/>
                <w:lang w:eastAsia="es-ES"/>
              </w:rPr>
              <w:t>Georeferenciada</w:t>
            </w:r>
            <w:proofErr w:type="spellEnd"/>
          </w:p>
        </w:tc>
        <w:tc>
          <w:tcPr>
            <w:tcW w:w="637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cnfStyle w:val="000000100000"/>
              <w:rPr>
                <w:rFonts w:ascii="Calibri" w:hAnsi="Calibri" w:cs="Calibri"/>
                <w:sz w:val="20"/>
                <w:lang w:eastAsia="es-ES"/>
              </w:rPr>
            </w:pPr>
            <w:r w:rsidRPr="00F47FAD">
              <w:rPr>
                <w:rFonts w:ascii="Calibri" w:hAnsi="Calibri" w:cs="Calibri"/>
                <w:bCs/>
                <w:sz w:val="20"/>
                <w:lang w:eastAsia="es-ES"/>
              </w:rPr>
              <w:t>No</w:t>
            </w:r>
          </w:p>
        </w:tc>
      </w:tr>
      <w:tr w:rsidR="004B5A76" w:rsidRPr="00F47FAD" w:rsidTr="004B5A76">
        <w:trPr>
          <w:cnfStyle w:val="000000010000"/>
          <w:trHeight w:val="162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elaboración de la ficha: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01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08 de junio de 2012</w:t>
            </w:r>
          </w:p>
        </w:tc>
      </w:tr>
      <w:tr w:rsidR="004B5A76" w:rsidRPr="00F47FAD" w:rsidTr="004B5A76">
        <w:trPr>
          <w:cnfStyle w:val="000000100000"/>
          <w:trHeight w:val="177"/>
        </w:trPr>
        <w:tc>
          <w:tcPr>
            <w:cnfStyle w:val="001000000000"/>
            <w:tcW w:w="4219" w:type="dxa"/>
          </w:tcPr>
          <w:p w:rsidR="004B5A76" w:rsidRPr="00F47FAD" w:rsidRDefault="004B5A76" w:rsidP="004B5A76">
            <w:pPr>
              <w:autoSpaceDE w:val="0"/>
              <w:autoSpaceDN w:val="0"/>
              <w:adjustRightInd w:val="0"/>
              <w:jc w:val="both"/>
              <w:rPr>
                <w:rFonts w:ascii="Calibri" w:hAnsi="Calibri" w:cs="Calibri"/>
                <w:color w:val="000000" w:themeColor="text1"/>
                <w:sz w:val="20"/>
              </w:rPr>
            </w:pPr>
            <w:r w:rsidRPr="00F47FAD">
              <w:rPr>
                <w:rFonts w:ascii="Calibri" w:hAnsi="Calibri" w:cs="Calibri"/>
                <w:bCs w:val="0"/>
                <w:sz w:val="20"/>
                <w:lang w:eastAsia="es-ES"/>
              </w:rPr>
              <w:t>Fecha de actualización de la ficha:</w:t>
            </w:r>
          </w:p>
        </w:tc>
        <w:tc>
          <w:tcPr>
            <w:tcW w:w="6379" w:type="dxa"/>
          </w:tcPr>
          <w:p w:rsidR="004B5A76" w:rsidRPr="00F47FAD" w:rsidRDefault="004B5A76" w:rsidP="004B5A76">
            <w:pPr>
              <w:jc w:val="both"/>
              <w:cnfStyle w:val="000000100000"/>
              <w:rPr>
                <w:rFonts w:ascii="Calibri" w:hAnsi="Calibri" w:cs="Calibri"/>
                <w:color w:val="000000" w:themeColor="text1"/>
                <w:sz w:val="20"/>
                <w:lang w:val="es-CL"/>
              </w:rPr>
            </w:pPr>
            <w:r w:rsidRPr="00F47FAD">
              <w:rPr>
                <w:rFonts w:ascii="Calibri" w:hAnsi="Calibri" w:cs="Calibri"/>
                <w:sz w:val="20"/>
                <w:lang w:eastAsia="es-ES"/>
              </w:rPr>
              <w:t>20 de junio de 2012</w:t>
            </w:r>
          </w:p>
        </w:tc>
      </w:tr>
    </w:tbl>
    <w:p w:rsidR="004B5A76" w:rsidRPr="00F47FAD" w:rsidRDefault="004B5A76" w:rsidP="004B5A76">
      <w:pPr>
        <w:jc w:val="both"/>
        <w:rPr>
          <w:rFonts w:ascii="Calibri" w:hAnsi="Calibri" w:cs="Calibri"/>
          <w:b/>
          <w:bCs/>
          <w:sz w:val="20"/>
        </w:rPr>
      </w:pPr>
    </w:p>
    <w:p w:rsidR="00617BF5" w:rsidRDefault="00617BF5"/>
    <w:sectPr w:rsidR="00617BF5" w:rsidSect="00617BF5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4B5A76"/>
    <w:rsid w:val="00061A73"/>
    <w:rsid w:val="00163C87"/>
    <w:rsid w:val="00253FEC"/>
    <w:rsid w:val="002914F7"/>
    <w:rsid w:val="002F6E6B"/>
    <w:rsid w:val="004B5A76"/>
    <w:rsid w:val="00596EE7"/>
    <w:rsid w:val="005F1789"/>
    <w:rsid w:val="00617BF5"/>
    <w:rsid w:val="006C66A6"/>
    <w:rsid w:val="006D3A6F"/>
    <w:rsid w:val="00766ABC"/>
    <w:rsid w:val="007A7ACE"/>
    <w:rsid w:val="008A53B2"/>
    <w:rsid w:val="00A177A1"/>
    <w:rsid w:val="00B76D3D"/>
    <w:rsid w:val="00BC2B5A"/>
    <w:rsid w:val="00BD2810"/>
    <w:rsid w:val="00CE35E1"/>
    <w:rsid w:val="00D013F3"/>
    <w:rsid w:val="00D32605"/>
    <w:rsid w:val="00E064E6"/>
    <w:rsid w:val="00E339B0"/>
    <w:rsid w:val="00EC7677"/>
    <w:rsid w:val="00EF3D7D"/>
    <w:rsid w:val="00EF53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A76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4B5A76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4B5A76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4B5A76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Textodeglobo">
    <w:name w:val="Balloon Text"/>
    <w:basedOn w:val="Normal"/>
    <w:link w:val="TextodegloboCar"/>
    <w:uiPriority w:val="99"/>
    <w:semiHidden/>
    <w:unhideWhenUsed/>
    <w:rsid w:val="004B5A76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B5A76"/>
    <w:rPr>
      <w:rFonts w:ascii="Tahoma" w:eastAsia="Times New Roman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C" w:eastAsia="es-EC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267</Words>
  <Characters>1470</Characters>
  <Application>Microsoft Office Word</Application>
  <DocSecurity>0</DocSecurity>
  <Lines>12</Lines>
  <Paragraphs>3</Paragraphs>
  <ScaleCrop>false</ScaleCrop>
  <Company>Hewlett-Packard Company</Company>
  <LinksUpToDate>false</LinksUpToDate>
  <CharactersWithSpaces>1734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vflores</dc:creator>
  <cp:lastModifiedBy>jvinueza</cp:lastModifiedBy>
  <cp:revision>12</cp:revision>
  <dcterms:created xsi:type="dcterms:W3CDTF">2012-06-21T15:10:00Z</dcterms:created>
  <dcterms:modified xsi:type="dcterms:W3CDTF">2012-06-27T20:22:00Z</dcterms:modified>
</cp:coreProperties>
</file>